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80"/>
        <w:gridCol w:w="90"/>
        <w:gridCol w:w="2970"/>
        <w:gridCol w:w="3780"/>
        <w:gridCol w:w="5490"/>
      </w:tblGrid>
      <w:tr w:rsidR="00C24365" w:rsidRPr="00E711FD" w14:paraId="28393AD7" w14:textId="77777777" w:rsidTr="00270F7A">
        <w:tc>
          <w:tcPr>
            <w:tcW w:w="1980" w:type="dxa"/>
          </w:tcPr>
          <w:p w14:paraId="58274471" w14:textId="77777777" w:rsidR="00C24365" w:rsidRPr="00E711FD" w:rsidRDefault="00C24365" w:rsidP="00DE66EC">
            <w:r w:rsidRPr="00E711FD">
              <w:t>Indicator</w:t>
            </w:r>
          </w:p>
        </w:tc>
        <w:tc>
          <w:tcPr>
            <w:tcW w:w="3060" w:type="dxa"/>
            <w:gridSpan w:val="2"/>
            <w:shd w:val="clear" w:color="auto" w:fill="C6D9F1" w:themeFill="text2" w:themeFillTint="33"/>
          </w:tcPr>
          <w:p w14:paraId="75798E45" w14:textId="4B31C181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Emerging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5353EA7F" w14:textId="111F74C9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5557E6AC" w14:textId="746A5057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Proficient</w:t>
            </w:r>
          </w:p>
        </w:tc>
      </w:tr>
      <w:tr w:rsidR="002B0259" w:rsidRPr="00E711FD" w14:paraId="086D83B0" w14:textId="77777777" w:rsidTr="00E35F4F">
        <w:tc>
          <w:tcPr>
            <w:tcW w:w="1980" w:type="dxa"/>
            <w:vMerge w:val="restart"/>
          </w:tcPr>
          <w:p w14:paraId="64AB1E0E" w14:textId="77777777" w:rsidR="002B0259" w:rsidRDefault="002B0259" w:rsidP="006F730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School Based Leadership </w:t>
            </w:r>
          </w:p>
          <w:p w14:paraId="13ACF46D" w14:textId="64B3E001" w:rsidR="002B0259" w:rsidRPr="00E711FD" w:rsidRDefault="002B0259" w:rsidP="006F7302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6D29BE4E" w14:textId="115ADFB4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60" w:hanging="27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B0259">
              <w:rPr>
                <w:rFonts w:asciiTheme="minorHAnsi" w:hAnsiTheme="minorHAnsi"/>
                <w:sz w:val="22"/>
                <w:szCs w:val="22"/>
              </w:rPr>
              <w:t>The Principal acknowledges that improving attendance is important for student success but only occasionally focuses on it (e.g., one professional development session for staff per year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7576A5D4" w14:textId="66FC9437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4E4405">
              <w:rPr>
                <w:rFonts w:asciiTheme="minorHAnsi" w:hAnsiTheme="minorHAnsi"/>
                <w:sz w:val="22"/>
                <w:szCs w:val="22"/>
              </w:rPr>
              <w:t xml:space="preserve">The Principal has improving attendance as one of many priorities and consistently focuses on it </w:t>
            </w:r>
            <w:r w:rsidR="00C34B39">
              <w:rPr>
                <w:rFonts w:asciiTheme="minorHAnsi" w:hAnsiTheme="minorHAnsi"/>
                <w:sz w:val="22"/>
                <w:szCs w:val="22"/>
              </w:rPr>
              <w:t xml:space="preserve">(e.g.,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school has 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 xml:space="preserve">a summer professional development session </w:t>
            </w:r>
            <w:r>
              <w:rPr>
                <w:rFonts w:asciiTheme="minorHAnsi" w:hAnsiTheme="minorHAnsi"/>
                <w:sz w:val="22"/>
                <w:szCs w:val="22"/>
              </w:rPr>
              <w:t>for staff focused on attendance)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63C49AA4" w14:textId="768B6D41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Principal has a systemic approach for improving attendance that is explicitly linked to academic and school climate improvement (e.g., i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n-service training </w:t>
            </w:r>
            <w:r>
              <w:rPr>
                <w:rFonts w:asciiTheme="minorHAnsi" w:hAnsiTheme="minorHAnsi"/>
                <w:sz w:val="22"/>
                <w:szCs w:val="22"/>
              </w:rPr>
              <w:t>throughout the year for staff focused on attendance that includes teachers)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B0259" w:rsidRPr="00E711FD" w14:paraId="68B52E9D" w14:textId="77777777" w:rsidTr="00E35F4F">
        <w:tc>
          <w:tcPr>
            <w:tcW w:w="1980" w:type="dxa"/>
            <w:vMerge/>
          </w:tcPr>
          <w:p w14:paraId="51DA4182" w14:textId="77777777" w:rsidR="002B0259" w:rsidRPr="00E711FD" w:rsidRDefault="002B0259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3D1009F8" w14:textId="5DEB4A73" w:rsidR="002B0259" w:rsidRPr="002B0259" w:rsidRDefault="002B0259" w:rsidP="0024361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>o written attendance procedures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2B5B3E98" w14:textId="79151467" w:rsidR="002B0259" w:rsidRPr="002B0259" w:rsidRDefault="00070A33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B0259">
              <w:rPr>
                <w:rFonts w:asciiTheme="minorHAnsi" w:hAnsiTheme="minorHAnsi"/>
                <w:sz w:val="22"/>
                <w:szCs w:val="22"/>
              </w:rPr>
              <w:t>chool has w</w:t>
            </w:r>
            <w:r w:rsidR="002B0259" w:rsidRPr="004E4405">
              <w:rPr>
                <w:rFonts w:asciiTheme="minorHAnsi" w:hAnsiTheme="minorHAnsi"/>
                <w:sz w:val="22"/>
                <w:szCs w:val="22"/>
              </w:rPr>
              <w:t xml:space="preserve">ritten attendance procedures </w:t>
            </w:r>
            <w:r w:rsidR="002B0259">
              <w:rPr>
                <w:rFonts w:asciiTheme="minorHAnsi" w:hAnsiTheme="minorHAnsi"/>
                <w:sz w:val="22"/>
                <w:szCs w:val="22"/>
              </w:rPr>
              <w:t xml:space="preserve">but only a few staff </w:t>
            </w:r>
            <w:r w:rsidR="00D830EB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="002B0259">
              <w:rPr>
                <w:rFonts w:asciiTheme="minorHAnsi" w:hAnsiTheme="minorHAnsi"/>
                <w:sz w:val="22"/>
                <w:szCs w:val="22"/>
              </w:rPr>
              <w:t xml:space="preserve"> aware of them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667D1C57" w14:textId="30328790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has w</w:t>
            </w:r>
            <w:r w:rsidRPr="00AC6866">
              <w:rPr>
                <w:rFonts w:asciiTheme="minorHAnsi" w:hAnsiTheme="minorHAnsi"/>
                <w:sz w:val="22"/>
                <w:szCs w:val="22"/>
              </w:rPr>
              <w:t>ritten attendance pro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cedures that are </w:t>
            </w:r>
            <w:r w:rsidRPr="00AC6866">
              <w:rPr>
                <w:rFonts w:asciiTheme="minorHAnsi" w:hAnsiTheme="minorHAnsi"/>
                <w:sz w:val="22"/>
                <w:szCs w:val="22"/>
              </w:rPr>
              <w:t xml:space="preserve">clearly articulated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students, </w:t>
            </w:r>
            <w:r w:rsidR="00C34B39">
              <w:rPr>
                <w:rFonts w:asciiTheme="minorHAnsi" w:hAnsiTheme="minorHAnsi"/>
                <w:sz w:val="22"/>
                <w:szCs w:val="22"/>
              </w:rPr>
              <w:t xml:space="preserve">parents </w:t>
            </w:r>
            <w:r>
              <w:rPr>
                <w:rFonts w:asciiTheme="minorHAnsi" w:hAnsiTheme="minorHAnsi"/>
                <w:sz w:val="22"/>
                <w:szCs w:val="22"/>
              </w:rPr>
              <w:t>and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B0259" w:rsidRPr="00E711FD" w14:paraId="413ECA49" w14:textId="77777777" w:rsidTr="00E35F4F">
        <w:tc>
          <w:tcPr>
            <w:tcW w:w="1980" w:type="dxa"/>
            <w:vMerge/>
          </w:tcPr>
          <w:p w14:paraId="0F88B525" w14:textId="77777777" w:rsidR="002B0259" w:rsidRPr="00E711FD" w:rsidRDefault="002B0259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0A9A028B" w14:textId="269416F0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2B0259">
              <w:rPr>
                <w:rFonts w:asciiTheme="minorHAnsi" w:hAnsiTheme="minorHAnsi"/>
                <w:sz w:val="22"/>
                <w:szCs w:val="22"/>
              </w:rPr>
              <w:t xml:space="preserve">Attendance data is not shared with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Pr="002B0259">
              <w:rPr>
                <w:rFonts w:asciiTheme="minorHAnsi" w:hAnsiTheme="minorHAnsi"/>
                <w:sz w:val="22"/>
                <w:szCs w:val="22"/>
              </w:rPr>
              <w:t>school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51604784" w14:textId="41AC843A" w:rsidR="002B0259" w:rsidRPr="00E711FD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 xml:space="preserve">ttendance data is periodically shared with </w:t>
            </w:r>
            <w:r>
              <w:rPr>
                <w:rFonts w:asciiTheme="minorHAnsi" w:hAnsiTheme="minorHAnsi"/>
                <w:sz w:val="22"/>
                <w:szCs w:val="22"/>
              </w:rPr>
              <w:t>all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75A4758E" w14:textId="2E6E573D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Improving attendance is an accountability element in the schools’ improvement plan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569B2" w:rsidRPr="00E711FD" w14:paraId="365B91A2" w14:textId="77777777" w:rsidTr="00270F7A">
        <w:tc>
          <w:tcPr>
            <w:tcW w:w="1980" w:type="dxa"/>
          </w:tcPr>
          <w:p w14:paraId="50FD778A" w14:textId="0C8AC6EF" w:rsidR="006569B2" w:rsidRDefault="0083357B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b/>
                <w:sz w:val="22"/>
                <w:szCs w:val="22"/>
              </w:rPr>
              <w:t>Membership</w:t>
            </w:r>
          </w:p>
        </w:tc>
        <w:tc>
          <w:tcPr>
            <w:tcW w:w="3060" w:type="dxa"/>
            <w:gridSpan w:val="2"/>
          </w:tcPr>
          <w:p w14:paraId="26DFBCC1" w14:textId="79332F64" w:rsidR="006569B2" w:rsidRDefault="00DE3463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includes 2-3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staff members, but does not include the principal or </w:t>
            </w:r>
            <w:r w:rsidR="0024361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administrator.</w:t>
            </w:r>
          </w:p>
        </w:tc>
        <w:tc>
          <w:tcPr>
            <w:tcW w:w="3780" w:type="dxa"/>
          </w:tcPr>
          <w:p w14:paraId="705906DC" w14:textId="5455E020" w:rsidR="006569B2" w:rsidRDefault="006569B2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Team includes </w:t>
            </w:r>
            <w:r w:rsidR="0083357B">
              <w:rPr>
                <w:rFonts w:asciiTheme="minorHAnsi" w:hAnsiTheme="minorHAnsi"/>
                <w:sz w:val="22"/>
                <w:szCs w:val="22"/>
              </w:rPr>
              <w:t>2-3 staff members, including the p</w:t>
            </w:r>
            <w:r w:rsidR="0024361B">
              <w:rPr>
                <w:rFonts w:asciiTheme="minorHAnsi" w:hAnsiTheme="minorHAnsi"/>
                <w:sz w:val="22"/>
                <w:szCs w:val="22"/>
              </w:rPr>
              <w:t xml:space="preserve">rincipal or other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administrator. </w:t>
            </w:r>
          </w:p>
        </w:tc>
        <w:tc>
          <w:tcPr>
            <w:tcW w:w="5490" w:type="dxa"/>
          </w:tcPr>
          <w:p w14:paraId="22692274" w14:textId="364DA274" w:rsidR="006569B2" w:rsidRDefault="00642E3B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="00520D39">
              <w:rPr>
                <w:rFonts w:asciiTheme="minorHAnsi" w:hAnsiTheme="minorHAnsi"/>
                <w:sz w:val="22"/>
                <w:szCs w:val="22"/>
              </w:rPr>
              <w:t xml:space="preserve"> includes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at least </w:t>
            </w:r>
            <w:r w:rsidR="005729B6">
              <w:rPr>
                <w:rFonts w:asciiTheme="minorHAnsi" w:hAnsiTheme="minorHAnsi"/>
                <w:sz w:val="22"/>
                <w:szCs w:val="22"/>
              </w:rPr>
              <w:t>4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 staff members, the principal, </w:t>
            </w:r>
            <w:r w:rsidR="00FB13BC">
              <w:rPr>
                <w:rFonts w:asciiTheme="minorHAnsi" w:hAnsiTheme="minorHAnsi"/>
                <w:sz w:val="22"/>
                <w:szCs w:val="22"/>
              </w:rPr>
              <w:t>and</w:t>
            </w:r>
            <w:r w:rsidR="005D74CF">
              <w:rPr>
                <w:rFonts w:asciiTheme="minorHAnsi" w:hAnsiTheme="minorHAnsi"/>
                <w:sz w:val="22"/>
                <w:szCs w:val="22"/>
              </w:rPr>
              <w:t xml:space="preserve"> (i.e.</w:t>
            </w:r>
            <w:r w:rsidR="00DF60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0DF0">
              <w:rPr>
                <w:rFonts w:asciiTheme="minorHAnsi" w:hAnsiTheme="minorHAnsi"/>
                <w:sz w:val="22"/>
                <w:szCs w:val="22"/>
              </w:rPr>
              <w:t xml:space="preserve">administrative assistant, </w:t>
            </w:r>
            <w:r w:rsidR="00FB13BC">
              <w:rPr>
                <w:rFonts w:asciiTheme="minorHAnsi" w:hAnsiTheme="minorHAnsi"/>
                <w:sz w:val="22"/>
                <w:szCs w:val="22"/>
              </w:rPr>
              <w:t>nurse, guidance counselor, social worker</w:t>
            </w:r>
            <w:r w:rsidR="003011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and central office </w:t>
            </w:r>
            <w:r w:rsidR="005F4243">
              <w:rPr>
                <w:rFonts w:asciiTheme="minorHAnsi" w:hAnsiTheme="minorHAnsi"/>
                <w:sz w:val="22"/>
                <w:szCs w:val="22"/>
              </w:rPr>
              <w:t>administrator</w:t>
            </w:r>
            <w:r w:rsidR="005D74CF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5D74CF" w:rsidRPr="00087350">
              <w:rPr>
                <w:rFonts w:asciiTheme="minorHAnsi" w:hAnsiTheme="minorHAnsi"/>
                <w:sz w:val="22"/>
                <w:szCs w:val="22"/>
              </w:rPr>
              <w:t xml:space="preserve">plus, </w:t>
            </w:r>
            <w:r w:rsidR="006667F6" w:rsidRPr="00087350">
              <w:rPr>
                <w:rFonts w:asciiTheme="minorHAnsi" w:hAnsiTheme="minorHAnsi"/>
                <w:sz w:val="22"/>
                <w:szCs w:val="22"/>
              </w:rPr>
              <w:t xml:space="preserve">as appropriate, 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 xml:space="preserve">representation from students, </w:t>
            </w:r>
            <w:r w:rsidR="004800C3" w:rsidRPr="00087350">
              <w:rPr>
                <w:rFonts w:asciiTheme="minorHAnsi" w:hAnsiTheme="minorHAnsi"/>
                <w:sz w:val="22"/>
                <w:szCs w:val="22"/>
              </w:rPr>
              <w:t>famil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>ies</w:t>
            </w:r>
            <w:r w:rsidR="004800C3" w:rsidRPr="00087350">
              <w:rPr>
                <w:rFonts w:asciiTheme="minorHAnsi" w:hAnsiTheme="minorHAnsi"/>
                <w:sz w:val="22"/>
                <w:szCs w:val="22"/>
              </w:rPr>
              <w:t xml:space="preserve"> or community agencie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>s</w:t>
            </w:r>
            <w:r w:rsidR="005A797D">
              <w:rPr>
                <w:rFonts w:asciiTheme="minorHAnsi" w:hAnsiTheme="minorHAnsi"/>
                <w:sz w:val="22"/>
                <w:szCs w:val="22"/>
              </w:rPr>
              <w:t>.</w:t>
            </w:r>
            <w:r w:rsidR="003B20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0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2A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569B2" w:rsidRPr="00E711FD" w14:paraId="0EB45826" w14:textId="77777777" w:rsidTr="00270F7A">
        <w:tc>
          <w:tcPr>
            <w:tcW w:w="1980" w:type="dxa"/>
          </w:tcPr>
          <w:p w14:paraId="3693023A" w14:textId="58FE2D60" w:rsidR="006569B2" w:rsidRPr="00E711FD" w:rsidRDefault="0083357B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3060" w:type="dxa"/>
            <w:gridSpan w:val="2"/>
          </w:tcPr>
          <w:p w14:paraId="40C946C8" w14:textId="6BF93549" w:rsidR="006569B2" w:rsidRPr="00E711FD" w:rsidRDefault="00F345AC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ocus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es on providing </w:t>
            </w:r>
            <w:r w:rsidR="006569B2">
              <w:rPr>
                <w:rFonts w:asciiTheme="minorHAnsi" w:hAnsiTheme="minorHAnsi"/>
                <w:sz w:val="22"/>
                <w:szCs w:val="22"/>
              </w:rPr>
              <w:t>case management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 for truant and/or Tier 3 students.   </w:t>
            </w:r>
          </w:p>
        </w:tc>
        <w:tc>
          <w:tcPr>
            <w:tcW w:w="3780" w:type="dxa"/>
          </w:tcPr>
          <w:p w14:paraId="04AD4D16" w14:textId="0CB0CC67" w:rsidR="006569B2" w:rsidRPr="00E711FD" w:rsidRDefault="0083357B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focuses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Tier 2 and Tier 3 students for triage and service coordination.</w:t>
            </w:r>
          </w:p>
        </w:tc>
        <w:tc>
          <w:tcPr>
            <w:tcW w:w="5490" w:type="dxa"/>
          </w:tcPr>
          <w:p w14:paraId="62707138" w14:textId="73A0C112" w:rsidR="006569B2" w:rsidRPr="00E711FD" w:rsidRDefault="0083357B" w:rsidP="00714F82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ensures the existence of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schoo</w:t>
            </w:r>
            <w:r w:rsidR="00DF60FF">
              <w:rPr>
                <w:rFonts w:asciiTheme="minorHAnsi" w:hAnsiTheme="minorHAnsi"/>
                <w:sz w:val="22"/>
                <w:szCs w:val="22"/>
              </w:rPr>
              <w:t xml:space="preserve">l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attendance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strategies that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emphasize prevention and early intervention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 for all students while also ensuring triage and coordination of supports for Tier 2 and Tier 3 students. 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569B2" w:rsidRPr="00E711FD" w14:paraId="428EE42D" w14:textId="77777777" w:rsidTr="00270F7A">
        <w:tc>
          <w:tcPr>
            <w:tcW w:w="1980" w:type="dxa"/>
          </w:tcPr>
          <w:p w14:paraId="48F56A8E" w14:textId="77777777" w:rsidR="006569B2" w:rsidRPr="00E711FD" w:rsidRDefault="006569B2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Roles and Responsibilities</w:t>
            </w:r>
          </w:p>
        </w:tc>
        <w:tc>
          <w:tcPr>
            <w:tcW w:w="3060" w:type="dxa"/>
            <w:gridSpan w:val="2"/>
          </w:tcPr>
          <w:p w14:paraId="0A05B4F6" w14:textId="63FA24BA" w:rsidR="006569B2" w:rsidRPr="00E711FD" w:rsidRDefault="001558C0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member r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oles and responsibilities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unclear and 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attendance is inconsistent.</w:t>
            </w:r>
          </w:p>
        </w:tc>
        <w:tc>
          <w:tcPr>
            <w:tcW w:w="3780" w:type="dxa"/>
          </w:tcPr>
          <w:p w14:paraId="17FC0003" w14:textId="53525EB7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Roles are informally understood but responsibilities are not 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clearly defined.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14:paraId="399920DF" w14:textId="04254EE2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Roles and responsibilities of members are defined and documented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and members are held accountable.   </w:t>
            </w:r>
          </w:p>
        </w:tc>
      </w:tr>
      <w:tr w:rsidR="006569B2" w:rsidRPr="00E711FD" w14:paraId="464990D1" w14:textId="77777777" w:rsidTr="00270F7A">
        <w:tc>
          <w:tcPr>
            <w:tcW w:w="1980" w:type="dxa"/>
          </w:tcPr>
          <w:p w14:paraId="7ED47207" w14:textId="77777777" w:rsidR="006569B2" w:rsidRPr="00E711FD" w:rsidRDefault="006569B2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Meeting Frequency</w:t>
            </w:r>
          </w:p>
        </w:tc>
        <w:tc>
          <w:tcPr>
            <w:tcW w:w="3060" w:type="dxa"/>
            <w:gridSpan w:val="2"/>
          </w:tcPr>
          <w:p w14:paraId="37277506" w14:textId="77777777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Meetings are not held on a regular basis.  </w:t>
            </w:r>
          </w:p>
        </w:tc>
        <w:tc>
          <w:tcPr>
            <w:tcW w:w="3780" w:type="dxa"/>
          </w:tcPr>
          <w:p w14:paraId="7FC13208" w14:textId="60C1F675" w:rsidR="006569B2" w:rsidRPr="00E711FD" w:rsidRDefault="006569B2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Meetings are scheduled on a monthly basis but may be cancelled if a key team member is absent.</w:t>
            </w:r>
          </w:p>
        </w:tc>
        <w:tc>
          <w:tcPr>
            <w:tcW w:w="5490" w:type="dxa"/>
          </w:tcPr>
          <w:p w14:paraId="31A9485B" w14:textId="21AE5166" w:rsidR="00270F7A" w:rsidRPr="00175466" w:rsidRDefault="00520D39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 weekly 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meeting schedule is established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and meetings are held even if a key member is absent.</w:t>
            </w:r>
          </w:p>
        </w:tc>
      </w:tr>
      <w:tr w:rsidR="00CA0BA0" w:rsidRPr="00E711FD" w14:paraId="02FA4CF9" w14:textId="77777777" w:rsidTr="003C76B2">
        <w:tc>
          <w:tcPr>
            <w:tcW w:w="2070" w:type="dxa"/>
            <w:gridSpan w:val="2"/>
          </w:tcPr>
          <w:p w14:paraId="0DA01531" w14:textId="1354E84D" w:rsidR="00CA0BA0" w:rsidRPr="00E711FD" w:rsidRDefault="00CA0BA0" w:rsidP="00CA0BA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Indicator 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51599EF0" w14:textId="6CAB53A6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Emerging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7633487B" w14:textId="4DF75123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28709B15" w14:textId="5B3DE168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Proficient</w:t>
            </w:r>
          </w:p>
        </w:tc>
      </w:tr>
      <w:tr w:rsidR="00CA0BA0" w:rsidRPr="00E711FD" w14:paraId="33E87B16" w14:textId="77777777" w:rsidTr="00A32736">
        <w:tc>
          <w:tcPr>
            <w:tcW w:w="2070" w:type="dxa"/>
            <w:gridSpan w:val="2"/>
          </w:tcPr>
          <w:p w14:paraId="0F457FE4" w14:textId="32C051AE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Meeting Protocols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47F8C2" w14:textId="77777777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 protocols (e.g., norms, data reports, and agenda) have not been formally established.</w:t>
            </w:r>
          </w:p>
        </w:tc>
        <w:tc>
          <w:tcPr>
            <w:tcW w:w="3780" w:type="dxa"/>
          </w:tcPr>
          <w:p w14:paraId="7C1F2DBF" w14:textId="541095C7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Meeting protocols (e.g., norms, data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reports, agendas)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have been formally established but may not be consistently followed.</w:t>
            </w:r>
          </w:p>
        </w:tc>
        <w:tc>
          <w:tcPr>
            <w:tcW w:w="5490" w:type="dxa"/>
            <w:tcBorders>
              <w:bottom w:val="dotted" w:sz="4" w:space="0" w:color="auto"/>
            </w:tcBorders>
          </w:tcPr>
          <w:p w14:paraId="532B0194" w14:textId="0B3695CA" w:rsidR="00CA0BA0" w:rsidRPr="00175466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 protocols (e.g., norms, data reports, and agenda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) have been formally established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followed at every meeting.</w:t>
            </w:r>
            <w:r w:rsidR="002405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They clarify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when community partners and members of the school community</w:t>
            </w:r>
            <w:r w:rsidR="0079326E" w:rsidRPr="00F865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should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 be involved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to help craft strategies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 given the need to respect </w:t>
            </w:r>
            <w:r w:rsidR="0079326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>confidentiality</w:t>
            </w:r>
            <w:r w:rsidR="0079326E">
              <w:rPr>
                <w:rFonts w:asciiTheme="minorHAnsi" w:hAnsiTheme="minorHAnsi"/>
                <w:sz w:val="22"/>
                <w:szCs w:val="22"/>
              </w:rPr>
              <w:t xml:space="preserve"> of individual students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>.</w:t>
            </w:r>
            <w:r w:rsidR="0024054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0D4C0B5B" w14:textId="77777777" w:rsidTr="00A32736">
        <w:tc>
          <w:tcPr>
            <w:tcW w:w="2070" w:type="dxa"/>
            <w:gridSpan w:val="2"/>
            <w:vMerge w:val="restart"/>
          </w:tcPr>
          <w:p w14:paraId="12947E94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 xml:space="preserve">Data Driven </w:t>
            </w:r>
          </w:p>
        </w:tc>
        <w:tc>
          <w:tcPr>
            <w:tcW w:w="2970" w:type="dxa"/>
            <w:tcBorders>
              <w:bottom w:val="nil"/>
            </w:tcBorders>
          </w:tcPr>
          <w:p w14:paraId="65C8A597" w14:textId="53B5BF1D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hronic absence data is reviewed </w:t>
            </w:r>
            <w:r>
              <w:rPr>
                <w:rFonts w:asciiTheme="minorHAnsi" w:hAnsiTheme="minorHAnsi"/>
                <w:sz w:val="22"/>
                <w:szCs w:val="22"/>
              </w:rPr>
              <w:t>periodically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Merge w:val="restart"/>
          </w:tcPr>
          <w:p w14:paraId="5D858A0A" w14:textId="068B2B24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Data on individual and groups of students is reviewed at least monthly (e.g. attendance categories, grade levels, ELL, FRPL</w:t>
            </w:r>
            <w:r>
              <w:rPr>
                <w:rFonts w:asciiTheme="minorHAnsi" w:hAnsiTheme="minorHAnsi"/>
                <w:sz w:val="22"/>
                <w:szCs w:val="22"/>
              </w:rPr>
              <w:t>).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bottom w:val="nil"/>
            </w:tcBorders>
          </w:tcPr>
          <w:p w14:paraId="670D88F5" w14:textId="67D46418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merging patterns and changes in </w:t>
            </w:r>
            <w:r>
              <w:rPr>
                <w:rFonts w:asciiTheme="minorHAnsi" w:hAnsiTheme="minorHAnsi"/>
                <w:sz w:val="22"/>
                <w:szCs w:val="22"/>
              </w:rPr>
              <w:t>student’s status are discussed.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36B16C76" w14:textId="77777777" w:rsidTr="00A32736">
        <w:tc>
          <w:tcPr>
            <w:tcW w:w="2070" w:type="dxa"/>
            <w:gridSpan w:val="2"/>
            <w:vMerge/>
          </w:tcPr>
          <w:p w14:paraId="59D1372C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A3E75F7" w14:textId="6E902525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85E3C">
              <w:rPr>
                <w:rFonts w:asciiTheme="minorHAnsi" w:hAnsiTheme="minorHAnsi"/>
                <w:sz w:val="22"/>
                <w:szCs w:val="22"/>
              </w:rPr>
              <w:t>Discussion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C85E3C">
              <w:rPr>
                <w:rFonts w:asciiTheme="minorHAnsi" w:hAnsiTheme="minorHAnsi"/>
                <w:sz w:val="22"/>
                <w:szCs w:val="22"/>
              </w:rPr>
              <w:t xml:space="preserve"> and decisions minimally reflect use of district data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780" w:type="dxa"/>
            <w:vMerge/>
          </w:tcPr>
          <w:p w14:paraId="59405C8C" w14:textId="77777777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90" w:type="dxa"/>
            <w:vMerge w:val="restart"/>
            <w:tcBorders>
              <w:top w:val="nil"/>
            </w:tcBorders>
          </w:tcPr>
          <w:p w14:paraId="376650E9" w14:textId="33950924" w:rsidR="00CA0BA0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Data on individual and groups of students is reviewed at least </w:t>
            </w:r>
            <w:r>
              <w:rPr>
                <w:rFonts w:asciiTheme="minorHAnsi" w:hAnsiTheme="minorHAnsi"/>
                <w:sz w:val="22"/>
                <w:szCs w:val="22"/>
              </w:rPr>
              <w:t>bi-weekly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(e.g. attendance categories, grade levels, ELL, FRPL</w:t>
            </w:r>
            <w:r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52B3C35" w14:textId="5A3B7E3A" w:rsidR="00CA0BA0" w:rsidRPr="004929B9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easons for absence are fully explored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interventions are assigned and tracked for individual and groups of students.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0C160FC9" w14:textId="77777777" w:rsidTr="00A32736">
        <w:tc>
          <w:tcPr>
            <w:tcW w:w="2070" w:type="dxa"/>
            <w:gridSpan w:val="2"/>
            <w:vMerge/>
          </w:tcPr>
          <w:p w14:paraId="02A83903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0A9FCC0F" w14:textId="2AEDE305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Focus is on students with highest number of absences.</w:t>
            </w:r>
          </w:p>
        </w:tc>
        <w:tc>
          <w:tcPr>
            <w:tcW w:w="3780" w:type="dxa"/>
            <w:vMerge/>
          </w:tcPr>
          <w:p w14:paraId="2F64161F" w14:textId="77777777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90" w:type="dxa"/>
            <w:vMerge/>
          </w:tcPr>
          <w:p w14:paraId="2DB17659" w14:textId="5A82552B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BA0" w:rsidRPr="00E711FD" w14:paraId="74DD534D" w14:textId="77777777" w:rsidTr="00A32736">
        <w:tc>
          <w:tcPr>
            <w:tcW w:w="2070" w:type="dxa"/>
            <w:gridSpan w:val="2"/>
            <w:vMerge w:val="restart"/>
          </w:tcPr>
          <w:p w14:paraId="6118491C" w14:textId="77777777" w:rsidR="00CA0BA0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Focus on Tier 1 Students</w:t>
            </w:r>
          </w:p>
          <w:p w14:paraId="2D6F74CE" w14:textId="199B0AA7" w:rsidR="00CA0BA0" w:rsidRPr="00E711FD" w:rsidRDefault="00CA0BA0" w:rsidP="00CA0BA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(Creating a Culture of Attendance)</w:t>
            </w:r>
          </w:p>
        </w:tc>
        <w:tc>
          <w:tcPr>
            <w:tcW w:w="2970" w:type="dxa"/>
            <w:tcBorders>
              <w:bottom w:val="nil"/>
            </w:tcBorders>
          </w:tcPr>
          <w:p w14:paraId="76E95CC0" w14:textId="1037C4B9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Some recognition of </w:t>
            </w:r>
            <w:r>
              <w:rPr>
                <w:rFonts w:asciiTheme="minorHAnsi" w:hAnsiTheme="minorHAnsi"/>
                <w:sz w:val="22"/>
                <w:szCs w:val="22"/>
              </w:rPr>
              <w:t>the importance of attendance.</w:t>
            </w:r>
          </w:p>
          <w:p w14:paraId="7198371F" w14:textId="339336A5" w:rsidR="00CA0BA0" w:rsidRPr="00E711FD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14:paraId="77878663" w14:textId="677314BA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School staff is aware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negative impact of chronic absence and communicates 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is message. </w:t>
            </w:r>
          </w:p>
        </w:tc>
        <w:tc>
          <w:tcPr>
            <w:tcW w:w="5490" w:type="dxa"/>
            <w:tcBorders>
              <w:bottom w:val="nil"/>
            </w:tcBorders>
          </w:tcPr>
          <w:p w14:paraId="253B73FC" w14:textId="3CB2D49C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School staff, students and families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aware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impact of chronic absence and 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essaging on good attendance is regularly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communicated. </w:t>
            </w:r>
          </w:p>
        </w:tc>
      </w:tr>
      <w:tr w:rsidR="00CA0BA0" w:rsidRPr="00E711FD" w14:paraId="0A910280" w14:textId="77777777" w:rsidTr="00A32736">
        <w:tc>
          <w:tcPr>
            <w:tcW w:w="2070" w:type="dxa"/>
            <w:gridSpan w:val="2"/>
            <w:vMerge/>
          </w:tcPr>
          <w:p w14:paraId="7E535C4C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F08BB0E" w14:textId="03FF90F6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Focus is on Average Daily Attendance (ADA) </w:t>
            </w:r>
            <w:r>
              <w:rPr>
                <w:rFonts w:asciiTheme="minorHAnsi" w:hAnsiTheme="minorHAnsi"/>
                <w:sz w:val="22"/>
                <w:szCs w:val="22"/>
              </w:rPr>
              <w:t>instead of chronic absence.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CFCF40E" w14:textId="016DDBCE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Participates in Attendance Awareness Month and has an attendance display.</w:t>
            </w:r>
          </w:p>
        </w:tc>
        <w:tc>
          <w:tcPr>
            <w:tcW w:w="5490" w:type="dxa"/>
            <w:tcBorders>
              <w:top w:val="nil"/>
              <w:bottom w:val="nil"/>
            </w:tcBorders>
          </w:tcPr>
          <w:p w14:paraId="3F2BB379" w14:textId="38BCAF5A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School Staff have a proactive student engagement strategy and value the importance of positive relationships. </w:t>
            </w:r>
          </w:p>
        </w:tc>
      </w:tr>
      <w:tr w:rsidR="00CA0BA0" w:rsidRPr="00E711FD" w14:paraId="7FFF6089" w14:textId="77777777" w:rsidTr="00A32736">
        <w:tc>
          <w:tcPr>
            <w:tcW w:w="2070" w:type="dxa"/>
            <w:gridSpan w:val="2"/>
            <w:vMerge/>
          </w:tcPr>
          <w:p w14:paraId="22FEBA22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nil"/>
              <w:bottom w:val="dotted" w:sz="4" w:space="0" w:color="auto"/>
            </w:tcBorders>
          </w:tcPr>
          <w:p w14:paraId="21375DC1" w14:textId="59F39EB2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Minimal efforts made to explore the connection between school climate and attendance. 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4147FD1" w14:textId="2C941B36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Attendance incentive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focused 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perfect attendance and is considering options to expand recognition to good and improved attendance.</w:t>
            </w:r>
          </w:p>
        </w:tc>
        <w:tc>
          <w:tcPr>
            <w:tcW w:w="5490" w:type="dxa"/>
            <w:tcBorders>
              <w:top w:val="nil"/>
              <w:bottom w:val="nil"/>
            </w:tcBorders>
          </w:tcPr>
          <w:p w14:paraId="715A79A8" w14:textId="7A675AAA" w:rsidR="00CA0BA0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Attendance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ncentive program focuse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on good and improved attendance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monthly recognition events.</w:t>
            </w:r>
          </w:p>
          <w:p w14:paraId="01785271" w14:textId="64872E23" w:rsidR="00CA0BA0" w:rsidRPr="007F047E" w:rsidRDefault="00CA0BA0" w:rsidP="000D3287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Community partners are invited to team meetings to help plan and support prevention strategies.</w:t>
            </w:r>
          </w:p>
        </w:tc>
      </w:tr>
      <w:tr w:rsidR="00CA0BA0" w:rsidRPr="00E711FD" w14:paraId="0506D0D7" w14:textId="77777777" w:rsidTr="00A32736">
        <w:tc>
          <w:tcPr>
            <w:tcW w:w="2070" w:type="dxa"/>
            <w:gridSpan w:val="2"/>
            <w:vMerge/>
          </w:tcPr>
          <w:p w14:paraId="3AB9787A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dotted" w:sz="4" w:space="0" w:color="auto"/>
            </w:tcBorders>
          </w:tcPr>
          <w:p w14:paraId="784FC3F9" w14:textId="77777777" w:rsidR="00CA0BA0" w:rsidRPr="00070A33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271E17A0" w14:textId="02512860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team has a school climate improvement plan and process.</w:t>
            </w:r>
          </w:p>
        </w:tc>
        <w:tc>
          <w:tcPr>
            <w:tcW w:w="5490" w:type="dxa"/>
            <w:tcBorders>
              <w:top w:val="nil"/>
            </w:tcBorders>
          </w:tcPr>
          <w:p w14:paraId="487D2BD1" w14:textId="7700B8E9" w:rsidR="00CA0BA0" w:rsidRPr="00E711FD" w:rsidRDefault="00CA0BA0" w:rsidP="000D3287">
            <w:pPr>
              <w:pStyle w:val="ListParagraph"/>
              <w:numPr>
                <w:ilvl w:val="0"/>
                <w:numId w:val="1"/>
              </w:numPr>
              <w:spacing w:after="12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climate is welcoming and engaging for both students and families</w:t>
            </w:r>
            <w:r w:rsidR="00B6010D">
              <w:rPr>
                <w:rFonts w:asciiTheme="minorHAnsi" w:hAnsiTheme="minorHAnsi"/>
                <w:sz w:val="22"/>
                <w:szCs w:val="22"/>
              </w:rPr>
              <w:t xml:space="preserve"> and the team has a climate plan.</w:t>
            </w:r>
          </w:p>
        </w:tc>
      </w:tr>
    </w:tbl>
    <w:p w14:paraId="53161721" w14:textId="77777777" w:rsidR="00AC6866" w:rsidRDefault="00AC6866">
      <w:r>
        <w:br w:type="page"/>
      </w:r>
      <w:bookmarkStart w:id="0" w:name="_GoBack"/>
      <w:bookmarkEnd w:id="0"/>
    </w:p>
    <w:tbl>
      <w:tblPr>
        <w:tblStyle w:val="TableGrid"/>
        <w:tblW w:w="140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700"/>
        <w:gridCol w:w="3780"/>
        <w:gridCol w:w="5670"/>
      </w:tblGrid>
      <w:tr w:rsidR="00AC6866" w:rsidRPr="00E711FD" w14:paraId="48298A57" w14:textId="77777777" w:rsidTr="000F6C56">
        <w:tc>
          <w:tcPr>
            <w:tcW w:w="1890" w:type="dxa"/>
          </w:tcPr>
          <w:p w14:paraId="5F404777" w14:textId="77777777" w:rsidR="00AC6866" w:rsidRPr="00E711FD" w:rsidRDefault="00AC6866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Indicator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14:paraId="4002848F" w14:textId="2E9D573A" w:rsidR="00AC6866" w:rsidRPr="00E711FD" w:rsidRDefault="009120F7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Emerging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3BA4441B" w14:textId="03E2C1E9" w:rsidR="00AC6866" w:rsidRPr="00E711FD" w:rsidRDefault="009120F7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27D597B4" w14:textId="6BF226D2" w:rsidR="00AC6866" w:rsidRPr="00E711FD" w:rsidRDefault="009120F7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Proficient</w:t>
            </w:r>
          </w:p>
        </w:tc>
      </w:tr>
      <w:tr w:rsidR="00C34B39" w:rsidRPr="00E711FD" w14:paraId="7DB71E35" w14:textId="77777777" w:rsidTr="00FE505B">
        <w:trPr>
          <w:trHeight w:val="4938"/>
        </w:trPr>
        <w:tc>
          <w:tcPr>
            <w:tcW w:w="1890" w:type="dxa"/>
          </w:tcPr>
          <w:p w14:paraId="14DDFDE4" w14:textId="77777777" w:rsidR="00C34B39" w:rsidRDefault="00C34B39" w:rsidP="007B15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 xml:space="preserve">Focus on Tier 2 Students </w:t>
            </w:r>
          </w:p>
          <w:p w14:paraId="69D1991F" w14:textId="2361C296" w:rsidR="00C34B39" w:rsidRPr="00E711FD" w:rsidRDefault="00C34B39" w:rsidP="009356DB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(missing more than 10% of the school year)</w:t>
            </w:r>
          </w:p>
        </w:tc>
        <w:tc>
          <w:tcPr>
            <w:tcW w:w="2700" w:type="dxa"/>
          </w:tcPr>
          <w:p w14:paraId="28EC26AF" w14:textId="2433903F" w:rsidR="00C34B39" w:rsidRPr="00E711FD" w:rsidRDefault="00C34B39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Minimal early outreach (e.g. letters or phone calls) efforts to families when students are absent.  </w:t>
            </w:r>
          </w:p>
        </w:tc>
        <w:tc>
          <w:tcPr>
            <w:tcW w:w="3780" w:type="dxa"/>
          </w:tcPr>
          <w:p w14:paraId="17A41C2D" w14:textId="6E86ADBA" w:rsidR="00C34B39" w:rsidRPr="003C76B2" w:rsidRDefault="00C34B39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early outreach (e.g., home visits)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to families over the summer for students with a history of chronic absence in the previous year and throughout the year using the 10% measure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7E8AA3B4" w14:textId="77777777" w:rsidR="009C443C" w:rsidRDefault="009C443C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Common barriers to attendance are identified and systemic solutions are put in place. </w:t>
            </w:r>
          </w:p>
          <w:p w14:paraId="17D7513B" w14:textId="091B7CAD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onitors students who are on the cusp of Tier 2 and coordinates strategies with district staff and community partn</w:t>
            </w:r>
            <w:r>
              <w:rPr>
                <w:rFonts w:asciiTheme="minorHAnsi" w:hAnsiTheme="minorHAnsi"/>
                <w:sz w:val="22"/>
                <w:szCs w:val="22"/>
              </w:rPr>
              <w:t>ers.</w:t>
            </w:r>
          </w:p>
          <w:p w14:paraId="3A53F67D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Students with a history of chronic absence in the previous year receive interventions at the start of a new school year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23D9C6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Particular attention is paid in the transition grades (K, 1, 6, 9) to students who have a history of chronic absence.</w:t>
            </w:r>
          </w:p>
          <w:p w14:paraId="74665BE4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Chronic absence is discussed in Parent-Teacher conferences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5E0274D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Chronic absence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is incorporated into 504 plans and </w:t>
            </w:r>
            <w:r>
              <w:rPr>
                <w:rFonts w:asciiTheme="minorHAnsi" w:hAnsiTheme="minorHAnsi"/>
                <w:sz w:val="22"/>
                <w:szCs w:val="22"/>
              </w:rPr>
              <w:t>IEPs.</w:t>
            </w:r>
          </w:p>
          <w:p w14:paraId="535076FC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Students receive a caring call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 the same day as an absence.</w:t>
            </w:r>
          </w:p>
          <w:p w14:paraId="688ED2BA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The team has protocols for connecting with students and families to better understand their att</w:t>
            </w:r>
            <w:r>
              <w:rPr>
                <w:rFonts w:asciiTheme="minorHAnsi" w:hAnsiTheme="minorHAnsi"/>
                <w:sz w:val="22"/>
                <w:szCs w:val="22"/>
              </w:rPr>
              <w:t>endance challenges and barriers.</w:t>
            </w:r>
          </w:p>
          <w:p w14:paraId="60D2453D" w14:textId="54139539" w:rsidR="008B6B04" w:rsidRPr="003C76B2" w:rsidRDefault="008B6B04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Students who are chronically absent </w:t>
            </w:r>
            <w:r w:rsidR="00052ACF">
              <w:rPr>
                <w:rFonts w:asciiTheme="minorHAnsi" w:hAnsiTheme="minorHAnsi"/>
                <w:sz w:val="22"/>
                <w:szCs w:val="22"/>
              </w:rPr>
              <w:t>are connected to a caring mentor.</w:t>
            </w:r>
            <w:r w:rsidR="00AC2173">
              <w:rPr>
                <w:rFonts w:asciiTheme="minorHAnsi" w:hAnsiTheme="minorHAnsi"/>
                <w:sz w:val="22"/>
                <w:szCs w:val="22"/>
              </w:rPr>
              <w:t xml:space="preserve"> (Can be a targeted intervention.)</w:t>
            </w:r>
          </w:p>
        </w:tc>
      </w:tr>
      <w:tr w:rsidR="00C24365" w:rsidRPr="00E711FD" w14:paraId="7C0D81F0" w14:textId="77777777" w:rsidTr="000F6C56">
        <w:tc>
          <w:tcPr>
            <w:tcW w:w="1890" w:type="dxa"/>
          </w:tcPr>
          <w:p w14:paraId="3C802F7D" w14:textId="77777777" w:rsidR="00C24365" w:rsidRPr="00E711FD" w:rsidRDefault="00C24365" w:rsidP="007B15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Focus on Tier 3 Students</w:t>
            </w:r>
          </w:p>
          <w:p w14:paraId="750ECA6A" w14:textId="02ACF9CE" w:rsidR="002118E9" w:rsidRPr="00E711FD" w:rsidRDefault="002118E9" w:rsidP="009356DB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(missing more than 20% of the school year)</w:t>
            </w:r>
          </w:p>
        </w:tc>
        <w:tc>
          <w:tcPr>
            <w:tcW w:w="2700" w:type="dxa"/>
          </w:tcPr>
          <w:p w14:paraId="53784BC1" w14:textId="7110809E" w:rsidR="00C24365" w:rsidRPr="00E711FD" w:rsidRDefault="006029F1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Phone calls </w:t>
            </w:r>
            <w:r w:rsidR="003C76B2">
              <w:rPr>
                <w:rFonts w:asciiTheme="minorHAnsi" w:hAnsiTheme="minorHAnsi"/>
                <w:sz w:val="22"/>
                <w:szCs w:val="22"/>
              </w:rPr>
              <w:t>are made to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parents and parent meetings with</w:t>
            </w:r>
            <w:r w:rsidR="007F5C80" w:rsidRPr="00E711FD">
              <w:rPr>
                <w:rFonts w:asciiTheme="minorHAnsi" w:hAnsiTheme="minorHAnsi"/>
                <w:sz w:val="22"/>
                <w:szCs w:val="22"/>
              </w:rPr>
              <w:t xml:space="preserve"> families of </w:t>
            </w:r>
            <w:r w:rsidR="00C24365" w:rsidRPr="00E711FD">
              <w:rPr>
                <w:rFonts w:asciiTheme="minorHAnsi" w:hAnsiTheme="minorHAnsi"/>
                <w:sz w:val="22"/>
                <w:szCs w:val="22"/>
              </w:rPr>
              <w:t xml:space="preserve">students </w:t>
            </w:r>
            <w:r w:rsidR="009356DB">
              <w:rPr>
                <w:rFonts w:asciiTheme="minorHAnsi" w:hAnsiTheme="minorHAnsi"/>
                <w:sz w:val="22"/>
                <w:szCs w:val="22"/>
              </w:rPr>
              <w:t xml:space="preserve">once 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absence rate </w:t>
            </w:r>
            <w:r w:rsidR="009356DB">
              <w:rPr>
                <w:rFonts w:asciiTheme="minorHAnsi" w:hAnsiTheme="minorHAnsi"/>
                <w:sz w:val="22"/>
                <w:szCs w:val="22"/>
              </w:rPr>
              <w:t xml:space="preserve">reaches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20%</w:t>
            </w:r>
            <w:r w:rsidR="009356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48FEFFB5" w14:textId="550C1E59" w:rsidR="00C24365" w:rsidRPr="00E711FD" w:rsidRDefault="006029F1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Targeted, personal outreach to families of students with an absence rate of 20% and</w:t>
            </w:r>
            <w:r w:rsidR="00E711FD" w:rsidRPr="00E711FD">
              <w:rPr>
                <w:rFonts w:asciiTheme="minorHAnsi" w:hAnsiTheme="minorHAnsi"/>
                <w:sz w:val="22"/>
                <w:szCs w:val="22"/>
              </w:rPr>
              <w:t xml:space="preserve"> connects families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5C80" w:rsidRPr="00E711FD">
              <w:rPr>
                <w:rFonts w:asciiTheme="minorHAnsi" w:hAnsiTheme="minorHAnsi"/>
                <w:sz w:val="22"/>
                <w:szCs w:val="22"/>
              </w:rPr>
              <w:t>to community providers and services.</w:t>
            </w:r>
          </w:p>
        </w:tc>
        <w:tc>
          <w:tcPr>
            <w:tcW w:w="5670" w:type="dxa"/>
          </w:tcPr>
          <w:p w14:paraId="56AF81E6" w14:textId="24D08A57" w:rsidR="00270F7A" w:rsidRDefault="008433A3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The team looks at emerging patterns for all Tier 3 students </w:t>
            </w:r>
            <w:r w:rsidR="005C2269" w:rsidRPr="00E711FD">
              <w:rPr>
                <w:rFonts w:asciiTheme="minorHAnsi" w:hAnsiTheme="minorHAnsi"/>
                <w:sz w:val="22"/>
                <w:szCs w:val="22"/>
              </w:rPr>
              <w:t>to understand common ca</w:t>
            </w:r>
            <w:r w:rsidR="00546D7C">
              <w:rPr>
                <w:rFonts w:asciiTheme="minorHAnsi" w:hAnsiTheme="minorHAnsi"/>
                <w:sz w:val="22"/>
                <w:szCs w:val="22"/>
              </w:rPr>
              <w:t>uses or barriers.</w:t>
            </w:r>
          </w:p>
          <w:p w14:paraId="7BE86300" w14:textId="76929807" w:rsidR="00270F7A" w:rsidRDefault="00270F7A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8433A3" w:rsidRPr="00E711FD">
              <w:rPr>
                <w:rFonts w:asciiTheme="minorHAnsi" w:hAnsiTheme="minorHAnsi"/>
                <w:sz w:val="22"/>
                <w:szCs w:val="22"/>
              </w:rPr>
              <w:t>onitors students who are on the cusp of Tier 3</w:t>
            </w:r>
            <w:r w:rsidR="00C34B39">
              <w:rPr>
                <w:rFonts w:asciiTheme="minorHAnsi" w:hAnsiTheme="minorHAnsi"/>
                <w:sz w:val="22"/>
                <w:szCs w:val="22"/>
              </w:rPr>
              <w:t>.</w:t>
            </w:r>
            <w:r w:rsidR="005C2269"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50D573" w14:textId="7F3955A4" w:rsidR="00270F7A" w:rsidRDefault="007F5C80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Students with a history of </w:t>
            </w:r>
            <w:r w:rsidR="008433A3" w:rsidRPr="00E711FD">
              <w:rPr>
                <w:rFonts w:asciiTheme="minorHAnsi" w:hAnsiTheme="minorHAnsi"/>
                <w:sz w:val="22"/>
                <w:szCs w:val="22"/>
              </w:rPr>
              <w:t xml:space="preserve">severe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chronic absence receive interventions at the start of a new school year</w:t>
            </w:r>
            <w:r w:rsidR="00C34B3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785D52C" w14:textId="5D96B9EB" w:rsidR="00270F7A" w:rsidRDefault="00A44215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Wra</w:t>
            </w:r>
            <w:r w:rsidR="00B13C55">
              <w:rPr>
                <w:rFonts w:asciiTheme="minorHAnsi" w:hAnsiTheme="minorHAnsi"/>
                <w:sz w:val="22"/>
                <w:szCs w:val="22"/>
              </w:rPr>
              <w:t>p around services are provided as needed.</w:t>
            </w:r>
          </w:p>
          <w:p w14:paraId="1D450640" w14:textId="7D81FD37" w:rsidR="00C24365" w:rsidRPr="00E711FD" w:rsidRDefault="00CA77C4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Targeted, personal outreach to families of students with an absence rate of 20% and connects families to community providers and services.</w:t>
            </w:r>
          </w:p>
        </w:tc>
      </w:tr>
    </w:tbl>
    <w:p w14:paraId="2C0CD12C" w14:textId="4D3A8F06" w:rsidR="008166C4" w:rsidRDefault="008166C4"/>
    <w:sectPr w:rsidR="008166C4" w:rsidSect="000D3287">
      <w:headerReference w:type="default" r:id="rId8"/>
      <w:footerReference w:type="default" r:id="rId9"/>
      <w:pgSz w:w="15840" w:h="12240" w:orient="landscape" w:code="1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5E6C" w14:textId="77777777" w:rsidR="00111120" w:rsidRDefault="00111120" w:rsidP="00E14EE7">
      <w:r>
        <w:separator/>
      </w:r>
    </w:p>
  </w:endnote>
  <w:endnote w:type="continuationSeparator" w:id="0">
    <w:p w14:paraId="0C6DA5F8" w14:textId="77777777" w:rsidR="00111120" w:rsidRDefault="00111120" w:rsidP="00E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FB7B" w14:textId="0A5FE8C1" w:rsidR="00E14EE7" w:rsidRPr="00A32736" w:rsidRDefault="00A32736">
    <w:pPr>
      <w:pStyle w:val="Footer"/>
      <w:rPr>
        <w:rFonts w:asciiTheme="minorHAnsi" w:hAnsiTheme="minorHAnsi" w:cstheme="minorHAnsi"/>
        <w:sz w:val="20"/>
      </w:rPr>
    </w:pPr>
    <w:r w:rsidRPr="00A32736">
      <w:rPr>
        <w:rFonts w:asciiTheme="minorHAnsi" w:hAnsiTheme="minorHAnsi" w:cstheme="minorHAnsi"/>
        <w:sz w:val="20"/>
      </w:rPr>
      <w:t>Rev. 8/2018</w:t>
    </w:r>
    <w:r w:rsidRPr="00A32736">
      <w:rPr>
        <w:rFonts w:asciiTheme="minorHAnsi" w:hAnsiTheme="minorHAnsi" w:cstheme="minorHAnsi"/>
        <w:sz w:val="20"/>
      </w:rPr>
      <w:ptab w:relativeTo="margin" w:alignment="center" w:leader="none"/>
    </w:r>
    <w:hyperlink r:id="rId1" w:history="1">
      <w:r w:rsidRPr="00A32736">
        <w:rPr>
          <w:rStyle w:val="Hyperlink"/>
          <w:rFonts w:asciiTheme="minorHAnsi" w:hAnsiTheme="minorHAnsi" w:cstheme="minorHAnsi"/>
          <w:sz w:val="20"/>
        </w:rPr>
        <w:t>www.attendanceworks.org</w:t>
      </w:r>
    </w:hyperlink>
    <w:r w:rsidRPr="00A32736">
      <w:rPr>
        <w:rFonts w:asciiTheme="minorHAnsi" w:hAnsiTheme="minorHAnsi" w:cstheme="minorHAnsi"/>
        <w:sz w:val="20"/>
      </w:rPr>
      <w:ptab w:relativeTo="margin" w:alignment="right" w:leader="none"/>
    </w:r>
    <w:r w:rsidRPr="00A32736">
      <w:rPr>
        <w:rFonts w:asciiTheme="minorHAnsi" w:hAnsiTheme="minorHAnsi" w:cstheme="minorHAnsi"/>
        <w:sz w:val="20"/>
      </w:rPr>
      <w:t xml:space="preserve">Page </w:t>
    </w:r>
    <w:r w:rsidRPr="00A32736">
      <w:rPr>
        <w:rFonts w:asciiTheme="minorHAnsi" w:hAnsiTheme="minorHAnsi" w:cstheme="minorHAnsi"/>
        <w:sz w:val="20"/>
      </w:rPr>
      <w:fldChar w:fldCharType="begin"/>
    </w:r>
    <w:r w:rsidRPr="00A32736">
      <w:rPr>
        <w:rFonts w:asciiTheme="minorHAnsi" w:hAnsiTheme="minorHAnsi" w:cstheme="minorHAnsi"/>
        <w:sz w:val="20"/>
      </w:rPr>
      <w:instrText xml:space="preserve"> PAGE   \* MERGEFORMAT </w:instrText>
    </w:r>
    <w:r w:rsidRPr="00A32736">
      <w:rPr>
        <w:rFonts w:asciiTheme="minorHAnsi" w:hAnsiTheme="minorHAnsi" w:cstheme="minorHAnsi"/>
        <w:sz w:val="20"/>
      </w:rPr>
      <w:fldChar w:fldCharType="separate"/>
    </w:r>
    <w:r w:rsidRPr="00A32736">
      <w:rPr>
        <w:rFonts w:asciiTheme="minorHAnsi" w:hAnsiTheme="minorHAnsi" w:cstheme="minorHAnsi"/>
        <w:noProof/>
        <w:sz w:val="20"/>
      </w:rPr>
      <w:t>1</w:t>
    </w:r>
    <w:r w:rsidRPr="00A32736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87D7" w14:textId="77777777" w:rsidR="00111120" w:rsidRDefault="00111120" w:rsidP="00E14EE7">
      <w:r>
        <w:separator/>
      </w:r>
    </w:p>
  </w:footnote>
  <w:footnote w:type="continuationSeparator" w:id="0">
    <w:p w14:paraId="3D0968E7" w14:textId="77777777" w:rsidR="00111120" w:rsidRDefault="00111120" w:rsidP="00E1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7AA9" w14:textId="21DADE19" w:rsidR="00E14EE7" w:rsidRDefault="00A60109" w:rsidP="00A60109">
    <w:pPr>
      <w:ind w:right="-630"/>
      <w:rPr>
        <w:rFonts w:asciiTheme="minorHAnsi" w:hAnsiTheme="minorHAnsi"/>
        <w:b/>
      </w:rPr>
    </w:pPr>
    <w:r w:rsidRPr="000D3287">
      <w:rPr>
        <w:rFonts w:asciiTheme="minorHAnsi" w:hAnsiTheme="minorHAnsi"/>
        <w:b/>
        <w:sz w:val="28"/>
        <w:szCs w:val="28"/>
      </w:rPr>
      <w:t>School:</w:t>
    </w:r>
    <w:r w:rsidR="00E35F4F" w:rsidRPr="000D3287">
      <w:rPr>
        <w:rFonts w:asciiTheme="minorHAnsi" w:hAnsiTheme="minorHAnsi"/>
        <w:b/>
        <w:sz w:val="28"/>
        <w:szCs w:val="28"/>
      </w:rPr>
      <w:t>__</w:t>
    </w:r>
    <w:r w:rsidRPr="000D3287">
      <w:rPr>
        <w:rFonts w:asciiTheme="minorHAnsi" w:hAnsiTheme="minorHAnsi"/>
        <w:b/>
        <w:sz w:val="28"/>
        <w:szCs w:val="28"/>
      </w:rPr>
      <w:t xml:space="preserve">____________________          </w:t>
    </w:r>
    <w:r w:rsidR="000D3287" w:rsidRPr="000D3287">
      <w:rPr>
        <w:rFonts w:asciiTheme="minorHAnsi" w:hAnsiTheme="minorHAnsi"/>
        <w:b/>
        <w:sz w:val="28"/>
        <w:szCs w:val="28"/>
      </w:rPr>
      <w:t xml:space="preserve"> </w:t>
    </w:r>
    <w:r w:rsidRPr="000D3287">
      <w:rPr>
        <w:rFonts w:asciiTheme="minorHAnsi" w:hAnsiTheme="minorHAnsi"/>
        <w:b/>
        <w:sz w:val="28"/>
        <w:szCs w:val="28"/>
      </w:rPr>
      <w:t xml:space="preserve">     </w:t>
    </w:r>
    <w:r w:rsidR="00E14EE7" w:rsidRPr="000D3287">
      <w:rPr>
        <w:rFonts w:asciiTheme="minorHAnsi" w:hAnsiTheme="minorHAnsi"/>
        <w:b/>
        <w:sz w:val="28"/>
        <w:szCs w:val="28"/>
      </w:rPr>
      <w:t xml:space="preserve">Attendance Team </w:t>
    </w:r>
    <w:r w:rsidR="002B0259" w:rsidRPr="000D3287">
      <w:rPr>
        <w:rFonts w:asciiTheme="minorHAnsi" w:hAnsiTheme="minorHAnsi"/>
        <w:b/>
        <w:sz w:val="28"/>
        <w:szCs w:val="28"/>
      </w:rPr>
      <w:t>Self-Assessment</w:t>
    </w:r>
    <w:r w:rsidR="00E14EE7" w:rsidRPr="000D3287">
      <w:rPr>
        <w:rFonts w:asciiTheme="minorHAnsi" w:hAnsiTheme="minorHAnsi"/>
        <w:b/>
        <w:sz w:val="28"/>
      </w:rPr>
      <w:t xml:space="preserve"> </w:t>
    </w:r>
    <w:r w:rsidRPr="000D3287">
      <w:rPr>
        <w:rFonts w:asciiTheme="minorHAnsi" w:hAnsiTheme="minorHAnsi"/>
        <w:b/>
        <w:sz w:val="28"/>
      </w:rPr>
      <w:t xml:space="preserve">              </w:t>
    </w:r>
    <w:r w:rsidR="000D3287" w:rsidRPr="000D3287">
      <w:rPr>
        <w:rFonts w:asciiTheme="minorHAnsi" w:hAnsiTheme="minorHAnsi"/>
        <w:b/>
        <w:sz w:val="28"/>
      </w:rPr>
      <w:t xml:space="preserve">   </w:t>
    </w:r>
    <w:r w:rsidR="00A32736" w:rsidRPr="000D3287">
      <w:rPr>
        <w:rFonts w:asciiTheme="minorHAnsi" w:hAnsiTheme="minorHAnsi"/>
        <w:b/>
        <w:sz w:val="28"/>
      </w:rPr>
      <w:t xml:space="preserve">              </w:t>
    </w:r>
    <w:r w:rsidRPr="000D3287">
      <w:rPr>
        <w:rFonts w:asciiTheme="minorHAnsi" w:hAnsiTheme="minorHAnsi"/>
        <w:b/>
        <w:sz w:val="28"/>
      </w:rPr>
      <w:t xml:space="preserve">       </w:t>
    </w:r>
    <w:r w:rsidR="00D830EB">
      <w:rPr>
        <w:noProof/>
      </w:rPr>
      <w:drawing>
        <wp:inline distT="0" distB="0" distL="0" distR="0" wp14:anchorId="122559B0" wp14:editId="23CEB8FE">
          <wp:extent cx="1085850" cy="43392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85" cy="43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D48AE" w14:textId="77777777" w:rsidR="00A60109" w:rsidRPr="00A60109" w:rsidRDefault="00A60109" w:rsidP="00A60109">
    <w:pPr>
      <w:ind w:right="-630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9BA"/>
    <w:multiLevelType w:val="hybridMultilevel"/>
    <w:tmpl w:val="C3FE8A0E"/>
    <w:lvl w:ilvl="0" w:tplc="4A9833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647EE"/>
    <w:multiLevelType w:val="hybridMultilevel"/>
    <w:tmpl w:val="8384F364"/>
    <w:lvl w:ilvl="0" w:tplc="4A9833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4"/>
    <w:rsid w:val="00023E7B"/>
    <w:rsid w:val="00030DF0"/>
    <w:rsid w:val="00052ACF"/>
    <w:rsid w:val="00062415"/>
    <w:rsid w:val="0006569A"/>
    <w:rsid w:val="00070A33"/>
    <w:rsid w:val="000764F3"/>
    <w:rsid w:val="00087350"/>
    <w:rsid w:val="00093299"/>
    <w:rsid w:val="000B3F1C"/>
    <w:rsid w:val="000B4F75"/>
    <w:rsid w:val="000C0E34"/>
    <w:rsid w:val="000D3287"/>
    <w:rsid w:val="000E7167"/>
    <w:rsid w:val="000F28D0"/>
    <w:rsid w:val="000F6C56"/>
    <w:rsid w:val="00101B8C"/>
    <w:rsid w:val="001032C9"/>
    <w:rsid w:val="00111120"/>
    <w:rsid w:val="0012449B"/>
    <w:rsid w:val="00124CF8"/>
    <w:rsid w:val="0014678E"/>
    <w:rsid w:val="001558C0"/>
    <w:rsid w:val="001648F1"/>
    <w:rsid w:val="00175466"/>
    <w:rsid w:val="00190A2B"/>
    <w:rsid w:val="001D0305"/>
    <w:rsid w:val="001D041F"/>
    <w:rsid w:val="00203724"/>
    <w:rsid w:val="002118E9"/>
    <w:rsid w:val="0021613D"/>
    <w:rsid w:val="00240548"/>
    <w:rsid w:val="0024361B"/>
    <w:rsid w:val="00266B3B"/>
    <w:rsid w:val="00270F7A"/>
    <w:rsid w:val="002B0259"/>
    <w:rsid w:val="002C1735"/>
    <w:rsid w:val="002F1371"/>
    <w:rsid w:val="002F6EE6"/>
    <w:rsid w:val="00301118"/>
    <w:rsid w:val="00330E54"/>
    <w:rsid w:val="00387091"/>
    <w:rsid w:val="003B20ED"/>
    <w:rsid w:val="003C76B2"/>
    <w:rsid w:val="003D596C"/>
    <w:rsid w:val="003E292D"/>
    <w:rsid w:val="003F5C8C"/>
    <w:rsid w:val="00442156"/>
    <w:rsid w:val="0046426A"/>
    <w:rsid w:val="004800C3"/>
    <w:rsid w:val="00482AFC"/>
    <w:rsid w:val="004929B9"/>
    <w:rsid w:val="004A47EB"/>
    <w:rsid w:val="004C3B23"/>
    <w:rsid w:val="004D7060"/>
    <w:rsid w:val="004E4405"/>
    <w:rsid w:val="004F3758"/>
    <w:rsid w:val="00517751"/>
    <w:rsid w:val="00520D39"/>
    <w:rsid w:val="00546D7C"/>
    <w:rsid w:val="005729B6"/>
    <w:rsid w:val="005A39E8"/>
    <w:rsid w:val="005A797D"/>
    <w:rsid w:val="005A7DDD"/>
    <w:rsid w:val="005B347B"/>
    <w:rsid w:val="005B36A1"/>
    <w:rsid w:val="005B3B85"/>
    <w:rsid w:val="005B412D"/>
    <w:rsid w:val="005C10DB"/>
    <w:rsid w:val="005C2269"/>
    <w:rsid w:val="005C7B4B"/>
    <w:rsid w:val="005D5B6F"/>
    <w:rsid w:val="005D74CF"/>
    <w:rsid w:val="005F4243"/>
    <w:rsid w:val="005F514C"/>
    <w:rsid w:val="005F68DF"/>
    <w:rsid w:val="006029F1"/>
    <w:rsid w:val="006141E8"/>
    <w:rsid w:val="00621C65"/>
    <w:rsid w:val="00642E3B"/>
    <w:rsid w:val="00652FDC"/>
    <w:rsid w:val="006569B2"/>
    <w:rsid w:val="0066106E"/>
    <w:rsid w:val="00662692"/>
    <w:rsid w:val="006667F6"/>
    <w:rsid w:val="0069013B"/>
    <w:rsid w:val="006B38FD"/>
    <w:rsid w:val="006F00DE"/>
    <w:rsid w:val="00710C48"/>
    <w:rsid w:val="00714F82"/>
    <w:rsid w:val="007237BD"/>
    <w:rsid w:val="00745B09"/>
    <w:rsid w:val="00792032"/>
    <w:rsid w:val="0079326E"/>
    <w:rsid w:val="007B159B"/>
    <w:rsid w:val="007B378E"/>
    <w:rsid w:val="007C2BB6"/>
    <w:rsid w:val="007C7188"/>
    <w:rsid w:val="007D0B13"/>
    <w:rsid w:val="007D17DE"/>
    <w:rsid w:val="007F047E"/>
    <w:rsid w:val="007F429F"/>
    <w:rsid w:val="007F4EDC"/>
    <w:rsid w:val="007F5C80"/>
    <w:rsid w:val="008166C4"/>
    <w:rsid w:val="0083357B"/>
    <w:rsid w:val="008348DC"/>
    <w:rsid w:val="008433A3"/>
    <w:rsid w:val="00856B09"/>
    <w:rsid w:val="00882E7A"/>
    <w:rsid w:val="00895BFE"/>
    <w:rsid w:val="008B3E86"/>
    <w:rsid w:val="008B6B04"/>
    <w:rsid w:val="008D72D9"/>
    <w:rsid w:val="008E23F6"/>
    <w:rsid w:val="009120F7"/>
    <w:rsid w:val="00922B8B"/>
    <w:rsid w:val="0092540C"/>
    <w:rsid w:val="00934CCA"/>
    <w:rsid w:val="009356DB"/>
    <w:rsid w:val="00936317"/>
    <w:rsid w:val="009454A8"/>
    <w:rsid w:val="009A6173"/>
    <w:rsid w:val="009C443C"/>
    <w:rsid w:val="00A14793"/>
    <w:rsid w:val="00A23E42"/>
    <w:rsid w:val="00A32736"/>
    <w:rsid w:val="00A44215"/>
    <w:rsid w:val="00A46EFB"/>
    <w:rsid w:val="00A54A9B"/>
    <w:rsid w:val="00A60109"/>
    <w:rsid w:val="00A92AFE"/>
    <w:rsid w:val="00AA50F2"/>
    <w:rsid w:val="00AB0A09"/>
    <w:rsid w:val="00AB6024"/>
    <w:rsid w:val="00AC2173"/>
    <w:rsid w:val="00AC48FF"/>
    <w:rsid w:val="00AC6866"/>
    <w:rsid w:val="00AC7DF7"/>
    <w:rsid w:val="00AD094B"/>
    <w:rsid w:val="00B13C55"/>
    <w:rsid w:val="00B23008"/>
    <w:rsid w:val="00B453C8"/>
    <w:rsid w:val="00B472B6"/>
    <w:rsid w:val="00B6010D"/>
    <w:rsid w:val="00B606DA"/>
    <w:rsid w:val="00B870F1"/>
    <w:rsid w:val="00B945C5"/>
    <w:rsid w:val="00BB0189"/>
    <w:rsid w:val="00BC50F5"/>
    <w:rsid w:val="00BD351D"/>
    <w:rsid w:val="00BD5A1D"/>
    <w:rsid w:val="00BE6662"/>
    <w:rsid w:val="00BF61A2"/>
    <w:rsid w:val="00C24365"/>
    <w:rsid w:val="00C34B39"/>
    <w:rsid w:val="00C51D39"/>
    <w:rsid w:val="00C55BBE"/>
    <w:rsid w:val="00C85E3C"/>
    <w:rsid w:val="00C978E0"/>
    <w:rsid w:val="00C979A1"/>
    <w:rsid w:val="00CA0BA0"/>
    <w:rsid w:val="00CA23FE"/>
    <w:rsid w:val="00CA77C4"/>
    <w:rsid w:val="00CB44D9"/>
    <w:rsid w:val="00D649E3"/>
    <w:rsid w:val="00D77A38"/>
    <w:rsid w:val="00D830EB"/>
    <w:rsid w:val="00DB0F24"/>
    <w:rsid w:val="00DE3463"/>
    <w:rsid w:val="00DE66EC"/>
    <w:rsid w:val="00DF60FF"/>
    <w:rsid w:val="00E14EE7"/>
    <w:rsid w:val="00E20489"/>
    <w:rsid w:val="00E35F4F"/>
    <w:rsid w:val="00E47FD9"/>
    <w:rsid w:val="00E711FD"/>
    <w:rsid w:val="00E72B6E"/>
    <w:rsid w:val="00E74341"/>
    <w:rsid w:val="00E82B1E"/>
    <w:rsid w:val="00ED4E9E"/>
    <w:rsid w:val="00EE2E37"/>
    <w:rsid w:val="00EF377C"/>
    <w:rsid w:val="00F035FD"/>
    <w:rsid w:val="00F06CF7"/>
    <w:rsid w:val="00F345AC"/>
    <w:rsid w:val="00F35A84"/>
    <w:rsid w:val="00F542CB"/>
    <w:rsid w:val="00F6210F"/>
    <w:rsid w:val="00F66C74"/>
    <w:rsid w:val="00F75631"/>
    <w:rsid w:val="00F865C6"/>
    <w:rsid w:val="00FB13BC"/>
    <w:rsid w:val="00FC06BE"/>
    <w:rsid w:val="00FD63AD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3A0D"/>
  <w15:docId w15:val="{6C9537FB-465B-4031-9AE6-9A1F0C4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024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024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E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EE7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E7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3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31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440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B20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0ED"/>
    <w:rPr>
      <w:rFonts w:ascii="Times" w:eastAsia="Times" w:hAnsi="Times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2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endancewo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E604-D444-4D04-9B86-9DCC0F17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</cp:lastModifiedBy>
  <cp:revision>3</cp:revision>
  <cp:lastPrinted>2017-10-31T09:52:00Z</cp:lastPrinted>
  <dcterms:created xsi:type="dcterms:W3CDTF">2018-09-21T19:04:00Z</dcterms:created>
  <dcterms:modified xsi:type="dcterms:W3CDTF">2018-09-21T19:06:00Z</dcterms:modified>
</cp:coreProperties>
</file>